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C7" w:rsidRPr="006114D6" w:rsidRDefault="006114D6">
      <w:pPr>
        <w:rPr>
          <w:rFonts w:ascii="Angsana New" w:hAnsi="Angsana New"/>
          <w:b/>
          <w:bCs/>
          <w:color w:val="660066"/>
          <w:sz w:val="32"/>
          <w:shd w:val="clear" w:color="auto" w:fill="F1F4F8"/>
        </w:rPr>
      </w:pPr>
      <w:r w:rsidRPr="006114D6">
        <w:rPr>
          <w:rFonts w:ascii="Angsana New" w:hAnsi="Angsana New"/>
          <w:b/>
          <w:bCs/>
          <w:color w:val="660066"/>
          <w:sz w:val="32"/>
          <w:shd w:val="clear" w:color="auto" w:fill="F1F4F8"/>
          <w:cs/>
        </w:rPr>
        <w:t>น้ำเสียชุมชน (</w:t>
      </w:r>
      <w:r w:rsidRPr="006114D6">
        <w:rPr>
          <w:rFonts w:ascii="Angsana New" w:hAnsi="Angsana New"/>
          <w:b/>
          <w:bCs/>
          <w:color w:val="660066"/>
          <w:sz w:val="32"/>
          <w:shd w:val="clear" w:color="auto" w:fill="F1F4F8"/>
        </w:rPr>
        <w:t>Domestic Wastewater)</w:t>
      </w:r>
    </w:p>
    <w:p w:rsidR="006114D6" w:rsidRPr="006114D6" w:rsidRDefault="006114D6">
      <w:pPr>
        <w:rPr>
          <w:rFonts w:ascii="Angsana New" w:hAnsi="Angsana New"/>
          <w:sz w:val="32"/>
        </w:rPr>
      </w:pPr>
      <w:r w:rsidRPr="006114D6">
        <w:rPr>
          <w:rFonts w:ascii="Angsana New" w:hAnsi="Angsana New"/>
          <w:b/>
          <w:bCs/>
          <w:color w:val="660000"/>
          <w:sz w:val="32"/>
          <w:shd w:val="clear" w:color="auto" w:fill="F1F4F8"/>
          <w:cs/>
        </w:rPr>
        <w:t>น้ำเสีย หมายถึง</w:t>
      </w:r>
      <w:r w:rsidRPr="006114D6">
        <w:rPr>
          <w:rFonts w:ascii="Angsana New" w:hAnsi="Angsana New"/>
          <w:color w:val="000000"/>
          <w:sz w:val="32"/>
          <w:shd w:val="clear" w:color="auto" w:fill="F1F4F8"/>
          <w:cs/>
        </w:rPr>
        <w:t>น้ำที่มีสิ่งเจือปนต่าง ๆ มากมาย จนกระทั่งกลายเป็นน้ำที่ไม่เป็นที่ต้องการ และน่ารังเกียจของคนทั่วไป ไม่เหมาะสมสำหรับใช้ประโยชน์อีกต่อไป หรือถ้าปล่อยลงสู่ลำน้ำธรรมชาติก็จะทำให้คุณภาพน้ำของธรรมชาติเสียหายได้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น้ำเสียชุมชน (</w:t>
      </w: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Domestic Wastewater)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หมายถึง</w:t>
      </w:r>
      <w:r w:rsidRPr="006114D6">
        <w:rPr>
          <w:rFonts w:ascii="Angsana New" w:eastAsia="Times New Roman" w:hAnsi="Angsana New"/>
          <w:b/>
          <w:bCs/>
          <w:color w:val="66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น้ำเสียที่เกิดจากกิจกรรมประจำวันของประชาชนที่อาศัยอยู่ในชุมชน และกิจกรรมที่เป็นอาชีพ ได้แก่ น้ำเสียที่เกิดจากการประกอบอาหารและชำระล้างสิ่งสกปรกทั้งหลายภายในครัวเรือน และอาคารประเภทต่าง ๆ เป็นต้น</w:t>
      </w:r>
    </w:p>
    <w:p w:rsid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ปริมาณน้ำเสีย ที่ปล่อยทิ้งจากบ้านเรือน อาคาร จะมีค่าประมาณร้อยละ 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80 </w:t>
      </w:r>
      <w:r w:rsidRPr="006114D6">
        <w:rPr>
          <w:rFonts w:ascii="Angsana New" w:eastAsia="Times New Roman" w:hAnsi="Angsana New"/>
          <w:color w:val="000000"/>
          <w:sz w:val="32"/>
          <w:cs/>
        </w:rPr>
        <w:t>ของปริมาณน้ำใช้ หรืออาจประเมินได้จากจำนวนประชากรหรือพื้นที่อาคาร ดังแสดงในตาราง</w:t>
      </w:r>
      <w:r>
        <w:rPr>
          <w:rFonts w:ascii="Angsana New" w:eastAsia="Times New Roman" w:hAnsi="Angsana New"/>
          <w:color w:val="000000"/>
          <w:sz w:val="32"/>
        </w:rPr>
        <w:t>]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</w:p>
    <w:tbl>
      <w:tblPr>
        <w:tblW w:w="7950" w:type="dxa"/>
        <w:tblCellSpacing w:w="0" w:type="dxa"/>
        <w:shd w:val="clear" w:color="auto" w:fill="F1F4F8"/>
        <w:tblCellMar>
          <w:left w:w="0" w:type="dxa"/>
          <w:right w:w="0" w:type="dxa"/>
        </w:tblCellMar>
        <w:tblLook w:val="04A0"/>
      </w:tblPr>
      <w:tblGrid>
        <w:gridCol w:w="7770"/>
        <w:gridCol w:w="180"/>
      </w:tblGrid>
      <w:tr w:rsidR="006114D6" w:rsidRPr="006114D6" w:rsidTr="006114D6">
        <w:trPr>
          <w:tblCellSpacing w:w="0" w:type="dxa"/>
        </w:trPr>
        <w:tc>
          <w:tcPr>
            <w:tcW w:w="7800" w:type="dxa"/>
            <w:shd w:val="clear" w:color="auto" w:fill="7FA1C1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36"/>
            </w:tblGrid>
            <w:tr w:rsidR="006114D6" w:rsidRPr="006114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อัตราการเกิดน้ำเสียต่อคนต่อวัน</w:t>
                  </w:r>
                </w:p>
              </w:tc>
            </w:tr>
          </w:tbl>
          <w:p w:rsidR="006114D6" w:rsidRPr="006114D6" w:rsidRDefault="006114D6" w:rsidP="006114D6">
            <w:pPr>
              <w:spacing w:after="0" w:line="240" w:lineRule="auto"/>
              <w:jc w:val="center"/>
              <w:rPr>
                <w:rFonts w:eastAsia="Times New Roman" w:cs="Microsoft Sans Serif"/>
                <w:sz w:val="15"/>
                <w:szCs w:val="15"/>
              </w:rPr>
            </w:pPr>
          </w:p>
        </w:tc>
        <w:tc>
          <w:tcPr>
            <w:tcW w:w="150" w:type="dxa"/>
            <w:shd w:val="clear" w:color="auto" w:fill="7FA1C1"/>
            <w:hideMark/>
          </w:tcPr>
          <w:p w:rsidR="006114D6" w:rsidRPr="006114D6" w:rsidRDefault="006114D6" w:rsidP="006114D6">
            <w:pPr>
              <w:spacing w:after="0" w:line="240" w:lineRule="auto"/>
              <w:jc w:val="right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 descr="http://www.pcd.go.th/info_serv/images/cn1_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d.go.th/info_serv/images/cn1_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4D6" w:rsidRPr="006114D6" w:rsidRDefault="006114D6" w:rsidP="006114D6">
      <w:pPr>
        <w:spacing w:after="0" w:line="240" w:lineRule="auto"/>
        <w:rPr>
          <w:rFonts w:ascii="Angsana New" w:eastAsia="Times New Roman" w:hAnsi="Angsana New"/>
          <w:vanish/>
          <w:szCs w:val="28"/>
        </w:rPr>
      </w:pPr>
    </w:p>
    <w:tbl>
      <w:tblPr>
        <w:tblW w:w="7950" w:type="dxa"/>
        <w:tblCellSpacing w:w="0" w:type="dxa"/>
        <w:shd w:val="clear" w:color="auto" w:fill="F1F4F8"/>
        <w:tblCellMar>
          <w:left w:w="0" w:type="dxa"/>
          <w:right w:w="0" w:type="dxa"/>
        </w:tblCellMar>
        <w:tblLook w:val="04A0"/>
      </w:tblPr>
      <w:tblGrid>
        <w:gridCol w:w="7950"/>
      </w:tblGrid>
      <w:tr w:rsidR="006114D6" w:rsidRPr="006114D6" w:rsidTr="006114D6">
        <w:trPr>
          <w:tblCellSpacing w:w="0" w:type="dxa"/>
        </w:trPr>
        <w:tc>
          <w:tcPr>
            <w:tcW w:w="0" w:type="auto"/>
            <w:shd w:val="clear" w:color="auto" w:fill="7FA1C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955"/>
              <w:gridCol w:w="998"/>
              <w:gridCol w:w="998"/>
              <w:gridCol w:w="998"/>
              <w:gridCol w:w="998"/>
              <w:gridCol w:w="998"/>
              <w:gridCol w:w="1005"/>
            </w:tblGrid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ภาค</w:t>
                  </w:r>
                </w:p>
              </w:tc>
              <w:tc>
                <w:tcPr>
                  <w:tcW w:w="0" w:type="auto"/>
                  <w:gridSpan w:val="6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อัตราการเกิดน้ำเสีย (ลิตร/คน-วัน)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  <w:t>2536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  <w:t>2540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  <w:t>2545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  <w:t>2550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  <w:t>2555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  <w:t>2560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กลาง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160-214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165-242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170-288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176-342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183-406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189-482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เหนือ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183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252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282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316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ตะวันออกเฉียงเหนือ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200-253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216-263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239-277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264-291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291-306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318-322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ใต้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204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249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275</w:t>
                  </w:r>
                </w:p>
              </w:tc>
            </w:tr>
          </w:tbl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vanish/>
                <w:sz w:val="15"/>
                <w:szCs w:val="15"/>
              </w:rPr>
            </w:pPr>
          </w:p>
          <w:tbl>
            <w:tblPr>
              <w:tblW w:w="79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7590"/>
              <w:gridCol w:w="180"/>
            </w:tblGrid>
            <w:tr w:rsidR="006114D6" w:rsidRPr="006114D6">
              <w:trPr>
                <w:tblCellSpacing w:w="0" w:type="dxa"/>
              </w:trPr>
              <w:tc>
                <w:tcPr>
                  <w:tcW w:w="150" w:type="dxa"/>
                  <w:shd w:val="clear" w:color="auto" w:fill="7FA1C1"/>
                  <w:vAlign w:val="bottom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>
                    <w:rPr>
                      <w:rFonts w:eastAsia="Times New Roman" w:cs="Microsoft Sans Serif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" name="Picture 2" descr="http://www.pcd.go.th/info_serv/images/cn1_l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cd.go.th/info_serv/images/cn1_l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00" w:type="dxa"/>
                  <w:shd w:val="clear" w:color="auto" w:fill="7FA1C1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>
                    <w:rPr>
                      <w:rFonts w:eastAsia="Times New Roman" w:cs="Microsoft Sans Serif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" name="Picture 3" descr="http://www.pcd.go.th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cd.go.th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7FA1C1"/>
                  <w:vAlign w:val="bottom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right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>
                    <w:rPr>
                      <w:rFonts w:eastAsia="Times New Roman" w:cs="Microsoft Sans Serif"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" name="Picture 4" descr="http://www.pcd.go.th/info_serv/images/cn1_r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cd.go.th/info_serv/images/cn1_r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sz w:val="15"/>
                <w:szCs w:val="15"/>
              </w:rPr>
            </w:pPr>
          </w:p>
        </w:tc>
      </w:tr>
    </w:tbl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eastAsia="Times New Roman" w:cs="Microsoft Sans Serif"/>
          <w:color w:val="000000"/>
          <w:sz w:val="15"/>
          <w:szCs w:val="15"/>
        </w:rPr>
      </w:pPr>
      <w:r w:rsidRPr="006114D6">
        <w:rPr>
          <w:rFonts w:eastAsia="Times New Roman" w:cs="Microsoft Sans Serif"/>
          <w:b/>
          <w:bCs/>
          <w:color w:val="660000"/>
          <w:sz w:val="15"/>
          <w:szCs w:val="15"/>
          <w:cs/>
        </w:rPr>
        <w:t>ที่มา</w:t>
      </w:r>
      <w:r w:rsidRPr="006114D6">
        <w:rPr>
          <w:rFonts w:eastAsia="Times New Roman" w:cs="Microsoft Sans Serif"/>
          <w:color w:val="000000"/>
          <w:sz w:val="15"/>
        </w:rPr>
        <w:t> </w:t>
      </w:r>
      <w:r w:rsidRPr="006114D6">
        <w:rPr>
          <w:rFonts w:eastAsia="Times New Roman" w:cs="Microsoft Sans Serif"/>
          <w:color w:val="000000"/>
          <w:sz w:val="15"/>
          <w:szCs w:val="15"/>
        </w:rPr>
        <w:t xml:space="preserve">: </w:t>
      </w:r>
      <w:r w:rsidRPr="006114D6">
        <w:rPr>
          <w:rFonts w:eastAsia="Times New Roman" w:cs="Microsoft Sans Serif"/>
          <w:color w:val="000000"/>
          <w:sz w:val="15"/>
          <w:szCs w:val="15"/>
          <w:cs/>
        </w:rPr>
        <w:t>โครงการศึกษาเพื่อจัดลำดับความสำคัญการจัดการน้ำเสียชุมชน</w:t>
      </w:r>
      <w:r w:rsidRPr="006114D6">
        <w:rPr>
          <w:rFonts w:eastAsia="Times New Roman" w:cs="Microsoft Sans Serif"/>
          <w:color w:val="000000"/>
          <w:sz w:val="15"/>
          <w:szCs w:val="15"/>
        </w:rPr>
        <w:t xml:space="preserve">, </w:t>
      </w:r>
      <w:r w:rsidRPr="006114D6">
        <w:rPr>
          <w:rFonts w:eastAsia="Times New Roman" w:cs="Microsoft Sans Serif"/>
          <w:color w:val="000000"/>
          <w:sz w:val="15"/>
          <w:szCs w:val="15"/>
          <w:cs/>
        </w:rPr>
        <w:t xml:space="preserve">สำนักงานนโยบายและแผนสิ่งแวดล้อม </w:t>
      </w:r>
      <w:r w:rsidRPr="006114D6">
        <w:rPr>
          <w:rFonts w:eastAsia="Times New Roman" w:cs="Microsoft Sans Serif"/>
          <w:color w:val="000000"/>
          <w:sz w:val="15"/>
          <w:szCs w:val="15"/>
        </w:rPr>
        <w:t>2538</w:t>
      </w:r>
    </w:p>
    <w:tbl>
      <w:tblPr>
        <w:tblW w:w="7950" w:type="dxa"/>
        <w:tblCellSpacing w:w="0" w:type="dxa"/>
        <w:shd w:val="clear" w:color="auto" w:fill="F1F4F8"/>
        <w:tblCellMar>
          <w:left w:w="0" w:type="dxa"/>
          <w:right w:w="0" w:type="dxa"/>
        </w:tblCellMar>
        <w:tblLook w:val="04A0"/>
      </w:tblPr>
      <w:tblGrid>
        <w:gridCol w:w="7770"/>
        <w:gridCol w:w="180"/>
      </w:tblGrid>
      <w:tr w:rsidR="006114D6" w:rsidRPr="006114D6" w:rsidTr="006114D6">
        <w:trPr>
          <w:tblCellSpacing w:w="0" w:type="dxa"/>
        </w:trPr>
        <w:tc>
          <w:tcPr>
            <w:tcW w:w="7800" w:type="dxa"/>
            <w:shd w:val="clear" w:color="auto" w:fill="7FA1C1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29"/>
            </w:tblGrid>
            <w:tr w:rsidR="006114D6" w:rsidRPr="006114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ปริมาณน้ำเสียจากอาคารประเภทต่าง ๆ</w:t>
                  </w:r>
                </w:p>
              </w:tc>
            </w:tr>
          </w:tbl>
          <w:p w:rsidR="006114D6" w:rsidRPr="006114D6" w:rsidRDefault="006114D6" w:rsidP="006114D6">
            <w:pPr>
              <w:spacing w:after="0" w:line="240" w:lineRule="auto"/>
              <w:jc w:val="center"/>
              <w:rPr>
                <w:rFonts w:eastAsia="Times New Roman" w:cs="Microsoft Sans Serif"/>
                <w:sz w:val="15"/>
                <w:szCs w:val="15"/>
              </w:rPr>
            </w:pPr>
          </w:p>
        </w:tc>
        <w:tc>
          <w:tcPr>
            <w:tcW w:w="150" w:type="dxa"/>
            <w:shd w:val="clear" w:color="auto" w:fill="7FA1C1"/>
            <w:hideMark/>
          </w:tcPr>
          <w:p w:rsidR="006114D6" w:rsidRPr="006114D6" w:rsidRDefault="006114D6" w:rsidP="006114D6">
            <w:pPr>
              <w:spacing w:after="0" w:line="240" w:lineRule="auto"/>
              <w:jc w:val="right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 descr="http://www.pcd.go.th/info_serv/images/cn1_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cd.go.th/info_serv/images/cn1_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4D6" w:rsidRPr="006114D6" w:rsidRDefault="006114D6" w:rsidP="006114D6">
      <w:pPr>
        <w:spacing w:after="0" w:line="240" w:lineRule="auto"/>
        <w:rPr>
          <w:rFonts w:ascii="Angsana New" w:eastAsia="Times New Roman" w:hAnsi="Angsana New"/>
          <w:vanish/>
          <w:szCs w:val="28"/>
        </w:rPr>
      </w:pPr>
    </w:p>
    <w:tbl>
      <w:tblPr>
        <w:tblW w:w="7950" w:type="dxa"/>
        <w:tblCellSpacing w:w="0" w:type="dxa"/>
        <w:shd w:val="clear" w:color="auto" w:fill="F1F4F8"/>
        <w:tblCellMar>
          <w:left w:w="0" w:type="dxa"/>
          <w:right w:w="0" w:type="dxa"/>
        </w:tblCellMar>
        <w:tblLook w:val="04A0"/>
      </w:tblPr>
      <w:tblGrid>
        <w:gridCol w:w="7950"/>
      </w:tblGrid>
      <w:tr w:rsidR="006114D6" w:rsidRPr="006114D6" w:rsidTr="006114D6">
        <w:trPr>
          <w:tblCellSpacing w:w="0" w:type="dxa"/>
        </w:trPr>
        <w:tc>
          <w:tcPr>
            <w:tcW w:w="0" w:type="auto"/>
            <w:shd w:val="clear" w:color="auto" w:fill="7FA1C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89"/>
              <w:gridCol w:w="2098"/>
              <w:gridCol w:w="2663"/>
            </w:tblGrid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ประเภทอาคาร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หน่วย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ลิตร/วัน-หน่วย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อาคารชุด/บ้านพัก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ยู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นิต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โรงแรม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ห้อง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1,000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หอพัก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ห้อง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80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สถานบริการ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ห้อง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400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หมู่บ้านจัดสรร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คน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180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โรงพยาบาล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เตียง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800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ภัตตาคาร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ตารางเมตร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25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ตลาด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ตารางเมตร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70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ห้างสรรพสินค้า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ตารางเมตร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5.0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สำนักงาน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ตารางเมตร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3.0</w:t>
                  </w:r>
                </w:p>
              </w:tc>
            </w:tr>
          </w:tbl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sz w:val="15"/>
                <w:szCs w:val="15"/>
              </w:rPr>
            </w:pPr>
          </w:p>
        </w:tc>
      </w:tr>
    </w:tbl>
    <w:p w:rsidR="006114D6" w:rsidRPr="006114D6" w:rsidRDefault="006114D6" w:rsidP="006114D6">
      <w:pPr>
        <w:spacing w:after="0" w:line="240" w:lineRule="auto"/>
        <w:rPr>
          <w:rFonts w:ascii="Angsana New" w:eastAsia="Times New Roman" w:hAnsi="Angsana New"/>
          <w:vanish/>
          <w:szCs w:val="28"/>
        </w:rPr>
      </w:pPr>
    </w:p>
    <w:tbl>
      <w:tblPr>
        <w:tblW w:w="7950" w:type="dxa"/>
        <w:tblCellSpacing w:w="0" w:type="dxa"/>
        <w:shd w:val="clear" w:color="auto" w:fill="F1F4F8"/>
        <w:tblCellMar>
          <w:left w:w="0" w:type="dxa"/>
          <w:right w:w="0" w:type="dxa"/>
        </w:tblCellMar>
        <w:tblLook w:val="04A0"/>
      </w:tblPr>
      <w:tblGrid>
        <w:gridCol w:w="180"/>
        <w:gridCol w:w="7590"/>
        <w:gridCol w:w="180"/>
      </w:tblGrid>
      <w:tr w:rsidR="006114D6" w:rsidRPr="006114D6" w:rsidTr="006114D6">
        <w:trPr>
          <w:tblCellSpacing w:w="0" w:type="dxa"/>
        </w:trPr>
        <w:tc>
          <w:tcPr>
            <w:tcW w:w="150" w:type="dxa"/>
            <w:shd w:val="clear" w:color="auto" w:fill="7FA1C1"/>
            <w:vAlign w:val="bottom"/>
            <w:hideMark/>
          </w:tcPr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 descr="http://www.pcd.go.th/info_serv/images/cn1_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cd.go.th/info_serv/images/cn1_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7FA1C1"/>
            <w:vAlign w:val="center"/>
            <w:hideMark/>
          </w:tcPr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8255" cy="8255"/>
                  <wp:effectExtent l="0" t="0" r="0" b="0"/>
                  <wp:docPr id="11" name="Picture 11" descr="http://www.pcd.go.th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cd.go.th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7FA1C1"/>
            <w:vAlign w:val="bottom"/>
            <w:hideMark/>
          </w:tcPr>
          <w:p w:rsidR="006114D6" w:rsidRPr="006114D6" w:rsidRDefault="006114D6" w:rsidP="006114D6">
            <w:pPr>
              <w:spacing w:after="0" w:line="240" w:lineRule="auto"/>
              <w:jc w:val="right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 descr="http://www.pcd.go.th/info_serv/images/cn1_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cd.go.th/info_serv/images/cn1_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eastAsia="Times New Roman" w:cs="Microsoft Sans Serif"/>
          <w:color w:val="000000"/>
          <w:sz w:val="15"/>
          <w:szCs w:val="15"/>
        </w:rPr>
      </w:pPr>
      <w:r w:rsidRPr="006114D6">
        <w:rPr>
          <w:rFonts w:eastAsia="Times New Roman" w:cs="Microsoft Sans Serif"/>
          <w:b/>
          <w:bCs/>
          <w:color w:val="660000"/>
          <w:sz w:val="15"/>
          <w:szCs w:val="15"/>
          <w:cs/>
        </w:rPr>
        <w:t>ที่มา :</w:t>
      </w:r>
      <w:r w:rsidRPr="006114D6">
        <w:rPr>
          <w:rFonts w:eastAsia="Times New Roman" w:cs="Microsoft Sans Serif"/>
          <w:color w:val="000000"/>
          <w:sz w:val="15"/>
        </w:rPr>
        <w:t> </w:t>
      </w:r>
      <w:r w:rsidRPr="006114D6">
        <w:rPr>
          <w:rFonts w:eastAsia="Times New Roman" w:cs="Microsoft Sans Serif"/>
          <w:color w:val="000000"/>
          <w:sz w:val="15"/>
          <w:szCs w:val="15"/>
          <w:cs/>
        </w:rPr>
        <w:t>ข้อพิจารณาเกี่ยวกับปริมาณและลักษณะน้ำทิ้งชุมชนในประเทศไทย</w:t>
      </w:r>
      <w:r w:rsidRPr="006114D6">
        <w:rPr>
          <w:rFonts w:eastAsia="Times New Roman" w:cs="Microsoft Sans Serif"/>
          <w:color w:val="000000"/>
          <w:sz w:val="15"/>
          <w:szCs w:val="15"/>
        </w:rPr>
        <w:t xml:space="preserve">, </w:t>
      </w:r>
      <w:r w:rsidRPr="006114D6">
        <w:rPr>
          <w:rFonts w:eastAsia="Times New Roman" w:cs="Microsoft Sans Serif"/>
          <w:color w:val="000000"/>
          <w:sz w:val="15"/>
          <w:szCs w:val="15"/>
          <w:cs/>
        </w:rPr>
        <w:t xml:space="preserve">เอกสารประกอบการประชุม </w:t>
      </w:r>
      <w:proofErr w:type="spellStart"/>
      <w:r w:rsidRPr="006114D6">
        <w:rPr>
          <w:rFonts w:eastAsia="Times New Roman" w:cs="Microsoft Sans Serif"/>
          <w:color w:val="000000"/>
          <w:sz w:val="15"/>
          <w:szCs w:val="15"/>
          <w:cs/>
        </w:rPr>
        <w:t>สวสท</w:t>
      </w:r>
      <w:proofErr w:type="spellEnd"/>
      <w:r w:rsidRPr="006114D6">
        <w:rPr>
          <w:rFonts w:eastAsia="Times New Roman" w:cs="Microsoft Sans Serif"/>
          <w:color w:val="000000"/>
          <w:sz w:val="15"/>
          <w:szCs w:val="15"/>
        </w:rPr>
        <w:t xml:space="preserve">'36, </w:t>
      </w:r>
      <w:r w:rsidRPr="006114D6">
        <w:rPr>
          <w:rFonts w:eastAsia="Times New Roman" w:cs="Microsoft Sans Serif"/>
          <w:color w:val="000000"/>
          <w:sz w:val="15"/>
          <w:szCs w:val="15"/>
          <w:cs/>
        </w:rPr>
        <w:t xml:space="preserve">สมาคมสิ่งแวดล้อมแห่งประเทศไทย </w:t>
      </w:r>
      <w:r w:rsidRPr="006114D6">
        <w:rPr>
          <w:rFonts w:eastAsia="Times New Roman" w:cs="Microsoft Sans Serif"/>
          <w:color w:val="000000"/>
          <w:sz w:val="15"/>
          <w:szCs w:val="15"/>
        </w:rPr>
        <w:t>2536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b/>
          <w:bCs/>
          <w:color w:val="004E8C"/>
          <w:sz w:val="32"/>
        </w:rPr>
      </w:pPr>
      <w:r w:rsidRPr="006114D6">
        <w:rPr>
          <w:rFonts w:ascii="Angsana New" w:eastAsia="Times New Roman" w:hAnsi="Angsana New"/>
          <w:b/>
          <w:bCs/>
          <w:color w:val="004E8C"/>
          <w:sz w:val="32"/>
          <w:cs/>
        </w:rPr>
        <w:t>ลักษณะน้ำเสีย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color w:val="000000"/>
          <w:sz w:val="32"/>
          <w:cs/>
        </w:rPr>
        <w:t>เกิดจากบ้านพักอาศัยประกอบไปด้วยน้ำเสียจากกิจกรรมต่าง ๆ ในชีวิตประจำวัน ซึ่งมีองค์ประกอบต่าง ๆ ดังนี้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1.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สารอินทรีย์</w:t>
      </w:r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ได้แก่ คาร์โบไฮเดรต โปรตีน ไขมัน เช่น เศษข้าว ก๋วยเตี๋ยว น้ำแกง เศษใบตอง พืชผัก ชิ้นเนื้อ เป็นต้น ซึ่งสามารถถูกย่อยสลายได้ โดยจุลินท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รีย์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ที่ใช้ออกซิเจน ทำให้ระดับออกซิเจนละลายน้ำ (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Dissolved </w:t>
      </w:r>
      <w:r w:rsidRPr="006114D6">
        <w:rPr>
          <w:rFonts w:ascii="Angsana New" w:eastAsia="Times New Roman" w:hAnsi="Angsana New"/>
          <w:color w:val="000000"/>
          <w:sz w:val="32"/>
        </w:rPr>
        <w:lastRenderedPageBreak/>
        <w:t xml:space="preserve">Oxygen) </w:t>
      </w:r>
      <w:r w:rsidRPr="006114D6">
        <w:rPr>
          <w:rFonts w:ascii="Angsana New" w:eastAsia="Times New Roman" w:hAnsi="Angsana New"/>
          <w:color w:val="000000"/>
          <w:sz w:val="32"/>
          <w:cs/>
        </w:rPr>
        <w:t>ลดลงเกิดสภาพเน่าเหม็นได้ ปริมาณของสารอินทรีย์ในน้ำนิยมวัดด้วยค่าบีโอดี (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BOD) </w:t>
      </w:r>
      <w:r w:rsidRPr="006114D6">
        <w:rPr>
          <w:rFonts w:ascii="Angsana New" w:eastAsia="Times New Roman" w:hAnsi="Angsana New"/>
          <w:color w:val="000000"/>
          <w:sz w:val="32"/>
          <w:cs/>
        </w:rPr>
        <w:t>เมื่อค่าบีโอดีในน้ำสูง แสดงว่ามีสารอินทรีย์ปะปนอยู่มาก และสภาพเน่าเหม็นจะเกิดขึ้นได้ง่าย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2.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สารอนินท</w:t>
      </w:r>
      <w:proofErr w:type="spellStart"/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รีย์</w:t>
      </w:r>
      <w:proofErr w:type="spellEnd"/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ได้แก่ แร่ธาตุต่าง ๆ ที่อาจไม่ทำให้เกิดน้ำเน่าเหม็น แต่อาจเป็นอันตรายต่อสิ่งมีชีวิต ได้แก่ คลอ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ไรด์</w:t>
      </w:r>
      <w:proofErr w:type="spellEnd"/>
      <w:r w:rsidRPr="006114D6">
        <w:rPr>
          <w:rFonts w:ascii="Angsana New" w:eastAsia="Times New Roman" w:hAnsi="Angsana New"/>
          <w:color w:val="000000"/>
          <w:sz w:val="32"/>
        </w:rPr>
        <w:t xml:space="preserve">, 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ซัลเฟอร์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 เป็นต้น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3.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โลหะหนักและสารพิษ</w:t>
      </w:r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อาจอยู่ในรูปของสารอินทรีย์หรืออนินท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รีย์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และสามารถสะสมอยู่ในวงจรอาหาร เกิดเป็นอันตรายต่อสิ่งมีชีวิต เช่น ปรอท โครเมียม ทองแดง ปกติจะอยู่ในน้ำเสียจากโรงงานอุตสาหกรรม และสารเคมีที่ใช้ในการกำจัดศัตรูพืชที่ปนมากับน้ำทิ้งจากการเกษตร สำหรับในเขตชุมชนอาจมีสารมลพิษนี้มาจากอุตสาหกรรมในครัวเรือนบางประเภท เช่น ร้านชุบโลหะ อู่ซ่อมรถ และน้ำเสียจากโรงพยาบาล เป็นต้น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4.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น้ำมันและสารลอยน้ำต่าง ๆ</w:t>
      </w:r>
      <w:r w:rsidRPr="006114D6">
        <w:rPr>
          <w:rFonts w:ascii="Angsana New" w:eastAsia="Times New Roman" w:hAnsi="Angsana New"/>
          <w:b/>
          <w:bCs/>
          <w:color w:val="66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เป็นอุปสรรคต่อการสังเคราะห์แสง และกีดขวางการกระจายของออกซิเจนจากอากาศลงสู่น้ำ นอกจากนั้นยังทำให้เกิดสภาพไม่น่าดู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5.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ของแข็ง</w:t>
      </w:r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เมื่อจมตัวสู่ก้นลำน้ำ ทำให้เกิดสภาพไร้ออกซิเจนที่ท้องน้ำ ทำให้แหล่งน้ำตื้นเขิน มีความขุ่นสูง มีผลกระทบต่อการดำรงชีพของสัตว์น้ำ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6.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สารก่อให้เกิดฟอง/สารซักฟอก</w:t>
      </w:r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ได้แก่ ผงซักฟอก สบู่ ฟองจะกีดกันการกระจายของออกซิเจนในอากาศสู่น้ำ และอาจเป็นอันตรายต่อสิ่งมีชีวิตในน้ำ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7.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จุลินท</w:t>
      </w:r>
      <w:proofErr w:type="spellStart"/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รีย์</w:t>
      </w:r>
      <w:proofErr w:type="spellEnd"/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 xml:space="preserve"> น้ำเสียจากโรงฟอกหนัง</w:t>
      </w:r>
      <w:r w:rsidRPr="006114D6">
        <w:rPr>
          <w:rFonts w:ascii="Angsana New" w:eastAsia="Times New Roman" w:hAnsi="Angsana New"/>
          <w:b/>
          <w:bCs/>
          <w:color w:val="66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โรงฆ่าสัตว์ หรือโรงงานอาหารกระป๋อง จะมีจุลินท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รีย์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เป็นจำนวนมากจุลินท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รีย์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เหล่านี้ใช้ออกซิเจนในการดำรงชีวิตสามารถลดระดับของออกซิเจนละลายน้ำ ทำให้เกิดสภาพเน่าเหม็น นอกจากนี้จุลินท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รีย์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บางชนิดอาจเป็นเชื้อโรคที่เป็นอันตรายต่อประชาชน เช่น จุลินท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รีย์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ในน้ำเสียจากโรงพยาบาล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8.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ธาตุอาหาร</w:t>
      </w:r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ได้แก่ ไนโตรเจน และฟอสฟอรัส เมื่อมีปริมาณสูงจะทำให้เกิดการเจริญเติบโตและเพิ่มปริมาณอย่างรวดเร็วของสาหร่าย (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Algae Bloom) </w:t>
      </w:r>
      <w:r w:rsidRPr="006114D6">
        <w:rPr>
          <w:rFonts w:ascii="Angsana New" w:eastAsia="Times New Roman" w:hAnsi="Angsana New"/>
          <w:color w:val="000000"/>
          <w:sz w:val="32"/>
          <w:cs/>
        </w:rPr>
        <w:t>ซึ่งเป็นสาเหตุสำคัญทำให้ระดับออกซิเจนในน้ำลดลงต่ำมากในช่วงกลางคืน อีกทั้งยังทำให้เกิดวัชพืชน้ำ ซึ่งเป็นปัญหาแก่การสัญจรทางน้ำ</w:t>
      </w:r>
    </w:p>
    <w:p w:rsidR="006114D6" w:rsidRPr="006114D6" w:rsidRDefault="006114D6" w:rsidP="006114D6">
      <w:pPr>
        <w:shd w:val="clear" w:color="auto" w:fill="F1F4F8"/>
        <w:spacing w:after="0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660000"/>
          <w:sz w:val="32"/>
        </w:rPr>
        <w:t xml:space="preserve">9. </w:t>
      </w:r>
      <w:r w:rsidRPr="006114D6">
        <w:rPr>
          <w:rFonts w:ascii="Angsana New" w:eastAsia="Times New Roman" w:hAnsi="Angsana New"/>
          <w:b/>
          <w:bCs/>
          <w:color w:val="660000"/>
          <w:sz w:val="32"/>
          <w:cs/>
        </w:rPr>
        <w:t>กลิ่น</w:t>
      </w:r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เกิดจากก๊าซไฮโดรเจนซัลไฟด์ ซึ่งเกิดจากการย่อยสลายของสารอินทรีย์แบบไร้ออกซิเจน หรือกลิ่นอื่น ๆ จากโรงงานอุตสาหกรรมต่าง ๆ เช่น โรงงานทำปลาป่น โรงฆ่าสัตว์ เป็นต้น</w:t>
      </w:r>
    </w:p>
    <w:tbl>
      <w:tblPr>
        <w:tblW w:w="7950" w:type="dxa"/>
        <w:tblCellSpacing w:w="0" w:type="dxa"/>
        <w:shd w:val="clear" w:color="auto" w:fill="F1F4F8"/>
        <w:tblCellMar>
          <w:left w:w="0" w:type="dxa"/>
          <w:right w:w="0" w:type="dxa"/>
        </w:tblCellMar>
        <w:tblLook w:val="04A0"/>
      </w:tblPr>
      <w:tblGrid>
        <w:gridCol w:w="180"/>
        <w:gridCol w:w="7590"/>
        <w:gridCol w:w="180"/>
      </w:tblGrid>
      <w:tr w:rsidR="006114D6" w:rsidRPr="006114D6" w:rsidTr="006114D6">
        <w:trPr>
          <w:tblCellSpacing w:w="0" w:type="dxa"/>
        </w:trPr>
        <w:tc>
          <w:tcPr>
            <w:tcW w:w="150" w:type="dxa"/>
            <w:shd w:val="clear" w:color="auto" w:fill="7FA1C1"/>
            <w:hideMark/>
          </w:tcPr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 descr="http://www.pcd.go.th/info_serv/images/cn1_l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cd.go.th/info_serv/images/cn1_l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7FA1C1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26"/>
            </w:tblGrid>
            <w:tr w:rsidR="006114D6" w:rsidRPr="006114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ลักษณะน้ำเสียชุมชน</w:t>
                  </w:r>
                </w:p>
              </w:tc>
            </w:tr>
          </w:tbl>
          <w:p w:rsidR="006114D6" w:rsidRPr="006114D6" w:rsidRDefault="006114D6" w:rsidP="006114D6">
            <w:pPr>
              <w:spacing w:after="0" w:line="240" w:lineRule="auto"/>
              <w:jc w:val="center"/>
              <w:rPr>
                <w:rFonts w:eastAsia="Times New Roman" w:cs="Microsoft Sans Serif"/>
                <w:sz w:val="15"/>
                <w:szCs w:val="15"/>
              </w:rPr>
            </w:pPr>
          </w:p>
        </w:tc>
        <w:tc>
          <w:tcPr>
            <w:tcW w:w="150" w:type="dxa"/>
            <w:shd w:val="clear" w:color="auto" w:fill="7FA1C1"/>
            <w:hideMark/>
          </w:tcPr>
          <w:p w:rsidR="006114D6" w:rsidRPr="006114D6" w:rsidRDefault="006114D6" w:rsidP="006114D6">
            <w:pPr>
              <w:spacing w:after="0" w:line="240" w:lineRule="auto"/>
              <w:jc w:val="right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4" descr="http://www.pcd.go.th/info_serv/images/cn1_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cd.go.th/info_serv/images/cn1_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4D6" w:rsidRPr="006114D6" w:rsidRDefault="006114D6" w:rsidP="006114D6">
      <w:pPr>
        <w:spacing w:after="0" w:line="240" w:lineRule="auto"/>
        <w:rPr>
          <w:rFonts w:ascii="Angsana New" w:eastAsia="Times New Roman" w:hAnsi="Angsana New"/>
          <w:vanish/>
          <w:szCs w:val="28"/>
        </w:rPr>
      </w:pPr>
    </w:p>
    <w:tbl>
      <w:tblPr>
        <w:tblW w:w="7950" w:type="dxa"/>
        <w:tblCellSpacing w:w="0" w:type="dxa"/>
        <w:shd w:val="clear" w:color="auto" w:fill="F1F4F8"/>
        <w:tblCellMar>
          <w:left w:w="0" w:type="dxa"/>
          <w:right w:w="0" w:type="dxa"/>
        </w:tblCellMar>
        <w:tblLook w:val="04A0"/>
      </w:tblPr>
      <w:tblGrid>
        <w:gridCol w:w="7950"/>
      </w:tblGrid>
      <w:tr w:rsidR="006114D6" w:rsidRPr="006114D6" w:rsidTr="006114D6">
        <w:trPr>
          <w:tblCellSpacing w:w="0" w:type="dxa"/>
        </w:trPr>
        <w:tc>
          <w:tcPr>
            <w:tcW w:w="0" w:type="auto"/>
            <w:shd w:val="clear" w:color="auto" w:fill="7FA1C1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375"/>
              <w:gridCol w:w="1182"/>
              <w:gridCol w:w="781"/>
              <w:gridCol w:w="824"/>
              <w:gridCol w:w="788"/>
            </w:tblGrid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พารามิเตอร์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หน่วย</w:t>
                  </w:r>
                </w:p>
              </w:tc>
              <w:tc>
                <w:tcPr>
                  <w:tcW w:w="0" w:type="auto"/>
                  <w:gridSpan w:val="3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ความเข้มข้น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น้อย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ปานกลาง</w:t>
                  </w:r>
                </w:p>
              </w:tc>
              <w:tc>
                <w:tcPr>
                  <w:tcW w:w="0" w:type="auto"/>
                  <w:shd w:val="clear" w:color="auto" w:fill="4286AA"/>
                  <w:vAlign w:val="center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b/>
                      <w:bCs/>
                      <w:color w:val="FFFFFF"/>
                      <w:sz w:val="15"/>
                      <w:szCs w:val="15"/>
                      <w:cs/>
                    </w:rPr>
                    <w:t>มาก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1.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ของแข็งทั้งหมด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Total Solids)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720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1200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ind w:left="720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ของแข็งละลายน้ำ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Dissolved Solids)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850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ind w:left="720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ของแข็งแขวนลอย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Suspended Solids)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220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350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2.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ปริมาณตะกอนหนัก (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Settleable</w:t>
                  </w:r>
                  <w:proofErr w:type="spellEnd"/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 xml:space="preserve"> Solids)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มล./ล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3.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ค่าบีโอดี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 xml:space="preserve">Biochemical Oxygen 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Demand;BOD</w:t>
                  </w:r>
                  <w:proofErr w:type="spellEnd"/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220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400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4.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ค่าซิโอดี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 xml:space="preserve">chemical Oxygen 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Demand;COD</w:t>
                  </w:r>
                  <w:proofErr w:type="spellEnd"/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5.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ไนโตรเจนทั้งหมด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Total as N)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85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ind w:left="720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อินทรีย์ไนโตรเจน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Organic)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35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ind w:left="720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แอมโมเนีย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Free ammonia)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ind w:left="720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ไน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โตรท์</w:t>
                  </w:r>
                  <w:proofErr w:type="spellEnd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 xml:space="preserve">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Nitrites)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ind w:left="720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ไนเตรท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Nitrate)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lastRenderedPageBreak/>
                    <w:t>6.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ฟอสฟอรัสทั้งหมด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Total as P)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15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ind w:left="720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สารอินทรีย์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Organic)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ind w:left="720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สารอนินท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รีย์</w:t>
                  </w:r>
                  <w:proofErr w:type="spellEnd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 xml:space="preserve">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Inorganic)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 xml:space="preserve">7. 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คลอ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ไรด์</w:t>
                  </w:r>
                  <w:proofErr w:type="spellEnd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 xml:space="preserve">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Chloride)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perscript"/>
                    </w:rPr>
                    <w:t>(1)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8.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ซัลเฟต</w:t>
                  </w:r>
                  <w:proofErr w:type="spellEnd"/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 xml:space="preserve">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Sulfate)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perscript"/>
                    </w:rPr>
                    <w:t>(1)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9.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สภาพด่าง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Alkalinity as CaCO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bscript"/>
                    </w:rPr>
                    <w:t>3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200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10.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ไขมัน (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Grease)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  <w:cs/>
                    </w:rPr>
                    <w:t>มก./ล.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150</w:t>
                  </w:r>
                </w:p>
              </w:tc>
            </w:tr>
            <w:tr w:rsidR="006114D6" w:rsidRPr="006114D6">
              <w:trPr>
                <w:tblCellSpacing w:w="7" w:type="dxa"/>
              </w:trPr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 xml:space="preserve">11.Total </w:t>
                  </w:r>
                  <w:proofErr w:type="spellStart"/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Coliform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MPN/100ml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perscript"/>
                    </w:rPr>
                    <w:t>6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-10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perscript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perscript"/>
                    </w:rPr>
                    <w:t>7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-10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perscript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3F3F3"/>
                  <w:hideMark/>
                </w:tcPr>
                <w:p w:rsidR="006114D6" w:rsidRPr="006114D6" w:rsidRDefault="006114D6" w:rsidP="006114D6">
                  <w:pPr>
                    <w:spacing w:after="0" w:line="240" w:lineRule="auto"/>
                    <w:jc w:val="center"/>
                    <w:rPr>
                      <w:rFonts w:eastAsia="Times New Roman" w:cs="Microsoft Sans Serif"/>
                      <w:sz w:val="15"/>
                      <w:szCs w:val="15"/>
                    </w:rPr>
                  </w:pP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10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perscript"/>
                    </w:rPr>
                    <w:t>7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</w:rPr>
                    <w:t>-10</w:t>
                  </w:r>
                  <w:r w:rsidRPr="006114D6">
                    <w:rPr>
                      <w:rFonts w:eastAsia="Times New Roman" w:cs="Microsoft Sans Serif"/>
                      <w:sz w:val="15"/>
                      <w:szCs w:val="15"/>
                      <w:vertAlign w:val="superscript"/>
                    </w:rPr>
                    <w:t>9</w:t>
                  </w:r>
                </w:p>
              </w:tc>
            </w:tr>
          </w:tbl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sz w:val="15"/>
                <w:szCs w:val="15"/>
              </w:rPr>
            </w:pPr>
          </w:p>
        </w:tc>
      </w:tr>
    </w:tbl>
    <w:p w:rsidR="006114D6" w:rsidRPr="006114D6" w:rsidRDefault="006114D6" w:rsidP="006114D6">
      <w:pPr>
        <w:spacing w:after="0" w:line="240" w:lineRule="auto"/>
        <w:rPr>
          <w:rFonts w:ascii="Angsana New" w:eastAsia="Times New Roman" w:hAnsi="Angsana New"/>
          <w:vanish/>
          <w:szCs w:val="28"/>
        </w:rPr>
      </w:pPr>
    </w:p>
    <w:tbl>
      <w:tblPr>
        <w:tblW w:w="7950" w:type="dxa"/>
        <w:tblCellSpacing w:w="0" w:type="dxa"/>
        <w:shd w:val="clear" w:color="auto" w:fill="F1F4F8"/>
        <w:tblCellMar>
          <w:left w:w="0" w:type="dxa"/>
          <w:right w:w="0" w:type="dxa"/>
        </w:tblCellMar>
        <w:tblLook w:val="04A0"/>
      </w:tblPr>
      <w:tblGrid>
        <w:gridCol w:w="180"/>
        <w:gridCol w:w="7590"/>
        <w:gridCol w:w="180"/>
      </w:tblGrid>
      <w:tr w:rsidR="006114D6" w:rsidRPr="006114D6" w:rsidTr="006114D6">
        <w:trPr>
          <w:tblCellSpacing w:w="0" w:type="dxa"/>
        </w:trPr>
        <w:tc>
          <w:tcPr>
            <w:tcW w:w="150" w:type="dxa"/>
            <w:shd w:val="clear" w:color="auto" w:fill="7FA1C1"/>
            <w:vAlign w:val="bottom"/>
            <w:hideMark/>
          </w:tcPr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Picture 15" descr="http://www.pcd.go.th/info_serv/images/cn1_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cd.go.th/info_serv/images/cn1_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7FA1C1"/>
            <w:vAlign w:val="center"/>
            <w:hideMark/>
          </w:tcPr>
          <w:p w:rsidR="006114D6" w:rsidRPr="006114D6" w:rsidRDefault="006114D6" w:rsidP="006114D6">
            <w:pPr>
              <w:spacing w:after="0" w:line="240" w:lineRule="auto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8255" cy="8255"/>
                  <wp:effectExtent l="0" t="0" r="0" b="0"/>
                  <wp:docPr id="16" name="Picture 16" descr="http://www.pcd.go.th/image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cd.go.th/image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7FA1C1"/>
            <w:vAlign w:val="bottom"/>
            <w:hideMark/>
          </w:tcPr>
          <w:p w:rsidR="006114D6" w:rsidRPr="006114D6" w:rsidRDefault="006114D6" w:rsidP="006114D6">
            <w:pPr>
              <w:spacing w:after="0" w:line="240" w:lineRule="auto"/>
              <w:jc w:val="right"/>
              <w:rPr>
                <w:rFonts w:eastAsia="Times New Roman" w:cs="Microsoft Sans Serif"/>
                <w:sz w:val="15"/>
                <w:szCs w:val="15"/>
              </w:rPr>
            </w:pPr>
            <w:r>
              <w:rPr>
                <w:rFonts w:eastAsia="Times New Roman" w:cs="Microsoft Sans Serif"/>
                <w:noProof/>
                <w:sz w:val="15"/>
                <w:szCs w:val="15"/>
              </w:rPr>
              <w:drawing>
                <wp:inline distT="0" distB="0" distL="0" distR="0">
                  <wp:extent cx="95250" cy="95250"/>
                  <wp:effectExtent l="19050" t="0" r="0" b="0"/>
                  <wp:docPr id="17" name="Picture 17" descr="http://www.pcd.go.th/info_serv/images/cn1_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cd.go.th/info_serv/images/cn1_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eastAsia="Times New Roman" w:cs="Microsoft Sans Serif"/>
          <w:color w:val="000000"/>
          <w:sz w:val="15"/>
          <w:szCs w:val="15"/>
        </w:rPr>
      </w:pPr>
      <w:r w:rsidRPr="006114D6">
        <w:rPr>
          <w:rFonts w:eastAsia="Times New Roman" w:cs="Microsoft Sans Serif"/>
          <w:b/>
          <w:bCs/>
          <w:color w:val="660000"/>
          <w:sz w:val="15"/>
          <w:szCs w:val="15"/>
          <w:cs/>
        </w:rPr>
        <w:t>หมายเหตุ</w:t>
      </w:r>
      <w:r w:rsidRPr="006114D6">
        <w:rPr>
          <w:rFonts w:eastAsia="Times New Roman" w:cs="Microsoft Sans Serif"/>
          <w:color w:val="000000"/>
          <w:sz w:val="15"/>
        </w:rPr>
        <w:t> </w:t>
      </w:r>
      <w:r w:rsidRPr="006114D6">
        <w:rPr>
          <w:rFonts w:eastAsia="Times New Roman" w:cs="Microsoft Sans Serif"/>
          <w:color w:val="000000"/>
          <w:sz w:val="15"/>
          <w:szCs w:val="15"/>
        </w:rPr>
        <w:t>:</w:t>
      </w:r>
      <w:proofErr w:type="gramStart"/>
      <w:r w:rsidRPr="006114D6">
        <w:rPr>
          <w:rFonts w:eastAsia="Times New Roman" w:cs="Microsoft Sans Serif"/>
          <w:color w:val="000000"/>
          <w:sz w:val="15"/>
          <w:szCs w:val="15"/>
        </w:rPr>
        <w:t>(1</w:t>
      </w:r>
      <w:proofErr w:type="gramEnd"/>
      <w:r w:rsidRPr="006114D6">
        <w:rPr>
          <w:rFonts w:eastAsia="Times New Roman" w:cs="Microsoft Sans Serif"/>
          <w:color w:val="000000"/>
          <w:sz w:val="15"/>
          <w:szCs w:val="15"/>
        </w:rPr>
        <w:t xml:space="preserve">) </w:t>
      </w:r>
      <w:r w:rsidRPr="006114D6">
        <w:rPr>
          <w:rFonts w:eastAsia="Times New Roman" w:cs="Microsoft Sans Serif"/>
          <w:color w:val="000000"/>
          <w:sz w:val="15"/>
          <w:szCs w:val="15"/>
          <w:cs/>
        </w:rPr>
        <w:t>เป็นค่าที่เพิ่มจากค่าที่ตรวจพบในน้ำใช้ปกติ</w:t>
      </w:r>
    </w:p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eastAsia="Times New Roman" w:cs="Microsoft Sans Serif"/>
          <w:color w:val="000000"/>
          <w:sz w:val="15"/>
          <w:szCs w:val="15"/>
        </w:rPr>
      </w:pPr>
      <w:r w:rsidRPr="006114D6">
        <w:rPr>
          <w:rFonts w:eastAsia="Times New Roman" w:cs="Microsoft Sans Serif"/>
          <w:b/>
          <w:bCs/>
          <w:color w:val="660000"/>
          <w:sz w:val="15"/>
          <w:szCs w:val="15"/>
          <w:cs/>
        </w:rPr>
        <w:t>ที่มา</w:t>
      </w:r>
      <w:r w:rsidRPr="006114D6">
        <w:rPr>
          <w:rFonts w:eastAsia="Times New Roman" w:cs="Microsoft Sans Serif"/>
          <w:color w:val="000000"/>
          <w:sz w:val="15"/>
        </w:rPr>
        <w:t> </w:t>
      </w:r>
      <w:r w:rsidRPr="006114D6">
        <w:rPr>
          <w:rFonts w:eastAsia="Times New Roman" w:cs="Microsoft Sans Serif"/>
          <w:color w:val="000000"/>
          <w:sz w:val="15"/>
          <w:szCs w:val="15"/>
        </w:rPr>
        <w:t xml:space="preserve">: Wastewater Engineering, </w:t>
      </w:r>
      <w:proofErr w:type="spellStart"/>
      <w:r w:rsidRPr="006114D6">
        <w:rPr>
          <w:rFonts w:eastAsia="Times New Roman" w:cs="Microsoft Sans Serif"/>
          <w:color w:val="000000"/>
          <w:sz w:val="15"/>
          <w:szCs w:val="15"/>
        </w:rPr>
        <w:t>Metcalf&amp;Eddy</w:t>
      </w:r>
      <w:proofErr w:type="spellEnd"/>
      <w:r w:rsidRPr="006114D6">
        <w:rPr>
          <w:rFonts w:eastAsia="Times New Roman" w:cs="Microsoft Sans Serif"/>
          <w:color w:val="000000"/>
          <w:sz w:val="15"/>
          <w:szCs w:val="15"/>
        </w:rPr>
        <w:t xml:space="preserve"> 1991</w:t>
      </w:r>
    </w:p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ascii="Angsana New" w:eastAsia="Times New Roman" w:hAnsi="Angsana New"/>
          <w:b/>
          <w:bCs/>
          <w:color w:val="004E8C"/>
          <w:sz w:val="32"/>
        </w:rPr>
      </w:pPr>
      <w:r w:rsidRPr="006114D6">
        <w:rPr>
          <w:rFonts w:ascii="Angsana New" w:eastAsia="Times New Roman" w:hAnsi="Angsana New"/>
          <w:b/>
          <w:bCs/>
          <w:color w:val="004E8C"/>
          <w:sz w:val="32"/>
          <w:cs/>
        </w:rPr>
        <w:t>ผลกระทบของน้ำเสียชุมชนต่อสุขภาพอนามัย</w:t>
      </w:r>
    </w:p>
    <w:p w:rsidR="006114D6" w:rsidRPr="006114D6" w:rsidRDefault="006114D6" w:rsidP="006114D6">
      <w:pPr>
        <w:shd w:val="clear" w:color="auto" w:fill="F1F4F8"/>
        <w:spacing w:after="0" w:line="240" w:lineRule="auto"/>
        <w:ind w:firstLine="720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โดยทั่วไปเชื้อโรคที่พบในน้ำเสียที่ก่อให้เกิดโรคต่อมนุษย์ได้ มี 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4 </w:t>
      </w:r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ชนิด คือ แบคทีเรีย 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ไวรัส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 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โปร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โต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ซัว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 และพยาธิ โดยมีสาเหตุมาจากอุจจาระของมนุษย์ปนมากับน้ำเสีย โรคติดเชื้อจากสิ่งขับถ่ายสามารถติดต่อสู่คน มี 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2 </w:t>
      </w:r>
      <w:r w:rsidRPr="006114D6">
        <w:rPr>
          <w:rFonts w:ascii="Angsana New" w:eastAsia="Times New Roman" w:hAnsi="Angsana New"/>
          <w:color w:val="000000"/>
          <w:sz w:val="32"/>
          <w:cs/>
        </w:rPr>
        <w:t>วิธี คือ เกิดจากเชื้อโรคที่อยู่ในสิ่งขับถ่ายของบุคคลหนึ่งแพร่กระจายออกสู่สิ่งแวดล้อมแล้วเข้าสู่บุคคลอื่น และเกิดจากเชื้อโรคจากสิ่งขับถ่ายเข้าทางปาก โดยที่สัตว์พาหนะ เช่น หนูหรือแมลงต่าง ๆ ที่อาศัยสิ่งขับถ่ายในการขยายพันธุ์ จะรับเชื้อโรคเข้าสู่ร่างกาย โดยเชื้ออาจอยู่ในตัว ลำไส้ หรือในเลือดของสัตว์พาหนะนั้น โดยที่คนจะได้รับเชื้อผ่านสัตว์เหล่านั้นอีกทีหนึ่ง ซึ่งองค์การอนามัยโลก (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WHO) </w:t>
      </w:r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ได้จำแนกเชื้อโรคตามลักษณะการติดเชื้อออกเป็น 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6 </w:t>
      </w:r>
      <w:r w:rsidRPr="006114D6">
        <w:rPr>
          <w:rFonts w:ascii="Angsana New" w:eastAsia="Times New Roman" w:hAnsi="Angsana New"/>
          <w:color w:val="000000"/>
          <w:sz w:val="32"/>
          <w:cs/>
        </w:rPr>
        <w:t>ประเภท</w:t>
      </w:r>
    </w:p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990000"/>
          <w:sz w:val="32"/>
          <w:cs/>
        </w:rPr>
        <w:t xml:space="preserve">ประเภทที่ </w:t>
      </w:r>
      <w:r w:rsidRPr="006114D6">
        <w:rPr>
          <w:rFonts w:ascii="Angsana New" w:eastAsia="Times New Roman" w:hAnsi="Angsana New"/>
          <w:b/>
          <w:bCs/>
          <w:color w:val="990000"/>
          <w:sz w:val="32"/>
        </w:rPr>
        <w:t>1</w:t>
      </w:r>
      <w:r w:rsidRPr="006114D6">
        <w:rPr>
          <w:rFonts w:ascii="Angsana New" w:eastAsia="Times New Roman" w:hAnsi="Angsana New"/>
          <w:color w:val="000000"/>
          <w:sz w:val="32"/>
          <w:cs/>
        </w:rPr>
        <w:t>การติดเชื้อ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ไวรัส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และ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โปร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>โต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ซัว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 สามารถทำให้เกิดโรคได้แม้ว่าจะได้รับเชื้อเพียงเล็กน้อย และสามารถติดต่อได้ง่าย ซึ่งการปรับปรุงระบบสุขาภิบาลเพียงอย่างเดียวยังไม่พอ จะต้องให้ความรู้เกี่ยวกับสุขภาพควบคู่กันด้วย</w:t>
      </w:r>
    </w:p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990000"/>
          <w:sz w:val="32"/>
          <w:cs/>
        </w:rPr>
        <w:t xml:space="preserve">ประเภทที่ </w:t>
      </w:r>
      <w:r w:rsidRPr="006114D6">
        <w:rPr>
          <w:rFonts w:ascii="Angsana New" w:eastAsia="Times New Roman" w:hAnsi="Angsana New"/>
          <w:b/>
          <w:bCs/>
          <w:color w:val="990000"/>
          <w:sz w:val="32"/>
        </w:rPr>
        <w:t>2 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การติดเชื้อจากแบคทีเรีย จะต้องได้รับเชื้อในปริมาณที่มากพอจึงจะทำให้เกิดโรคได้ แต่ติดต่อจากบุคคลหนึ่งไปยังอีกบุคคลหนึ่งได้ยาก เชื้อนี้มีความทนทานต่อสภาพแวดล้อมและสามารถแพร่พันธุ์ได้ดีในที่ที่เหมาะสม ซึ่งการปรับปรุงระบบสุขาภิบาลเพียงอย่างเดียวยังไม่พอ จะต้องให้ความรู้เกี่ยวกับสุขภาพควบคู่กันด้วย</w:t>
      </w:r>
    </w:p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990000"/>
          <w:sz w:val="32"/>
          <w:cs/>
        </w:rPr>
        <w:t xml:space="preserve">ประเภทที่ </w:t>
      </w:r>
      <w:r w:rsidRPr="006114D6">
        <w:rPr>
          <w:rFonts w:ascii="Angsana New" w:eastAsia="Times New Roman" w:hAnsi="Angsana New"/>
          <w:b/>
          <w:bCs/>
          <w:color w:val="990000"/>
          <w:sz w:val="32"/>
        </w:rPr>
        <w:t>3</w:t>
      </w:r>
      <w:r w:rsidRPr="006114D6">
        <w:rPr>
          <w:rFonts w:ascii="Angsana New" w:eastAsia="Times New Roman" w:hAnsi="Angsana New"/>
          <w:color w:val="000000"/>
          <w:sz w:val="32"/>
          <w:cs/>
        </w:rPr>
        <w:t>เชื้อชนิดนี้ทำให้เกิดโรคได้ทั้งในระยะแฝงและระยะฝังตัว ได้แก่ ไข่พยาธิ ซึ่งไม่สามารถติดต่อจากบุคคลหนึ่งไปยังอีกบุคคลหนึ่งได้โดยตรง แต่ต้องการสถานที่และสภาวะที่เหมาะสมเพื่อเจริญเติบโตเป็นตัวพยาธิและเข้าสู่ร่างกายได้ ดังนั้นการจัดระบบสุขาภิบาลที่ดี เช่น การกำจัดสิ่งขับถ่ายที่ถูกต้องจึงเป็นสิ่งสำคัญ จึงเป็นการป้องกันมิให้มีสิ่งขับถ่ายปนเปื้อนสิ่งแวดล้อม</w:t>
      </w:r>
    </w:p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990000"/>
          <w:sz w:val="32"/>
          <w:cs/>
        </w:rPr>
        <w:t xml:space="preserve">ประเภทที่ </w:t>
      </w:r>
      <w:r w:rsidRPr="006114D6">
        <w:rPr>
          <w:rFonts w:ascii="Angsana New" w:eastAsia="Times New Roman" w:hAnsi="Angsana New"/>
          <w:b/>
          <w:bCs/>
          <w:color w:val="990000"/>
          <w:sz w:val="32"/>
        </w:rPr>
        <w:t>4</w:t>
      </w:r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พยาธิตัวตืดอาศัยอยู่ในลำไส้คน ไข่พยาธิจะปนออกมากับอุจจาระ ถ้าการกำจัดสิ่งขับถ่ายไม่เหมาะสม ก็จะทำให้สัตว์จำพวกโค กระบือ และสุกร ได้รับไข่พยาธิจากการกินหญ้าที่มีไข่พยาธิเข้าไป ซึ่งไข่</w:t>
      </w:r>
      <w:r w:rsidRPr="006114D6">
        <w:rPr>
          <w:rFonts w:ascii="Angsana New" w:eastAsia="Times New Roman" w:hAnsi="Angsana New"/>
          <w:color w:val="000000"/>
          <w:sz w:val="32"/>
          <w:cs/>
        </w:rPr>
        <w:lastRenderedPageBreak/>
        <w:t>พยาธินี้เมื่อเข้าไปในร่างกายสัตว์แล้วจะกลายเป็น</w:t>
      </w:r>
      <w:proofErr w:type="spellStart"/>
      <w:r w:rsidRPr="006114D6">
        <w:rPr>
          <w:rFonts w:ascii="Angsana New" w:eastAsia="Times New Roman" w:hAnsi="Angsana New"/>
          <w:color w:val="000000"/>
          <w:sz w:val="32"/>
          <w:cs/>
        </w:rPr>
        <w:t>ซีสต์</w:t>
      </w:r>
      <w:proofErr w:type="spellEnd"/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 (</w:t>
      </w:r>
      <w:r w:rsidRPr="006114D6">
        <w:rPr>
          <w:rFonts w:ascii="Angsana New" w:eastAsia="Times New Roman" w:hAnsi="Angsana New"/>
          <w:color w:val="000000"/>
          <w:sz w:val="32"/>
        </w:rPr>
        <w:t xml:space="preserve">Cyst) </w:t>
      </w:r>
      <w:r w:rsidRPr="006114D6">
        <w:rPr>
          <w:rFonts w:ascii="Angsana New" w:eastAsia="Times New Roman" w:hAnsi="Angsana New"/>
          <w:color w:val="000000"/>
          <w:sz w:val="32"/>
          <w:cs/>
        </w:rPr>
        <w:t>และฝังตัวอยู่ตามกล้ามเนื้อ คนจะได้รับพยาธิโดยการรับประทานเนื้อสัตว์ดิบ ๆ ดังนั้นการจัดระบบสุขาภิบาลที่ดี เช่น การกำจัดสิ่งขับถ่ายที่ถูกต้องจึงเป็นสิ่งสำคัญ จึงเป็นการป้องกันมิให้มีสิ่งขับถ่ายปนเปื้อนสิ่งแวดล้อม</w:t>
      </w:r>
    </w:p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990000"/>
          <w:sz w:val="32"/>
          <w:cs/>
        </w:rPr>
        <w:t xml:space="preserve">ประเภทที่ </w:t>
      </w:r>
      <w:r w:rsidRPr="006114D6">
        <w:rPr>
          <w:rFonts w:ascii="Angsana New" w:eastAsia="Times New Roman" w:hAnsi="Angsana New"/>
          <w:b/>
          <w:bCs/>
          <w:color w:val="990000"/>
          <w:sz w:val="32"/>
        </w:rPr>
        <w:t>5</w:t>
      </w:r>
      <w:r w:rsidRPr="006114D6">
        <w:rPr>
          <w:rFonts w:ascii="Angsana New" w:eastAsia="Times New Roman" w:hAnsi="Angsana New"/>
          <w:color w:val="000000"/>
          <w:sz w:val="32"/>
        </w:rPr>
        <w:t> </w:t>
      </w:r>
      <w:r w:rsidRPr="006114D6">
        <w:rPr>
          <w:rFonts w:ascii="Angsana New" w:eastAsia="Times New Roman" w:hAnsi="Angsana New"/>
          <w:color w:val="000000"/>
          <w:sz w:val="32"/>
          <w:cs/>
        </w:rPr>
        <w:t>พยาธิที่มีบางระยะของวงชีวิตอยู่ในน้ำ โดยพยาธิเหล่านี้จะมีระยะติดต่อตอนที่อาศัยอยู่ในน้ำ โดยจะเข้าสู่ร่างกายคนโดยการไชเข้าทางผิวหนังหรือรับประทานสัตว์น้ำที่ไม่ได้ทำให้สุก ดังนั้นการจัดระบบสุขาภิบาลที่ดี จึงเป็นการป้องกันมิให้พยาธิเหล่านี้ปนเปื้อนสิ่งแวดล้อม</w:t>
      </w:r>
    </w:p>
    <w:p w:rsidR="006114D6" w:rsidRPr="006114D6" w:rsidRDefault="006114D6" w:rsidP="006114D6">
      <w:pPr>
        <w:shd w:val="clear" w:color="auto" w:fill="F1F4F8"/>
        <w:spacing w:before="100" w:beforeAutospacing="1" w:after="100" w:afterAutospacing="1" w:line="240" w:lineRule="auto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b/>
          <w:bCs/>
          <w:color w:val="990000"/>
          <w:sz w:val="32"/>
          <w:cs/>
        </w:rPr>
        <w:t xml:space="preserve">ประเภทที่ </w:t>
      </w:r>
      <w:r w:rsidRPr="006114D6">
        <w:rPr>
          <w:rFonts w:ascii="Angsana New" w:eastAsia="Times New Roman" w:hAnsi="Angsana New"/>
          <w:b/>
          <w:bCs/>
          <w:color w:val="990000"/>
          <w:sz w:val="32"/>
        </w:rPr>
        <w:t>6 </w:t>
      </w:r>
      <w:r w:rsidRPr="006114D6">
        <w:rPr>
          <w:rFonts w:ascii="Angsana New" w:eastAsia="Times New Roman" w:hAnsi="Angsana New"/>
          <w:color w:val="000000"/>
          <w:sz w:val="32"/>
          <w:cs/>
        </w:rPr>
        <w:t xml:space="preserve">การติดเชื้อโดยมีแมลงเป็นพาหะ แมลงที่เป็นพาหะที่สำคัญ ได้แก่ ยุง แมลงวัน โดยยุงพวก </w:t>
      </w:r>
      <w:proofErr w:type="spellStart"/>
      <w:r w:rsidRPr="006114D6">
        <w:rPr>
          <w:rFonts w:ascii="Angsana New" w:eastAsia="Times New Roman" w:hAnsi="Angsana New"/>
          <w:color w:val="000000"/>
          <w:sz w:val="32"/>
        </w:rPr>
        <w:t>Culex</w:t>
      </w:r>
      <w:proofErr w:type="spellEnd"/>
      <w:r w:rsidRPr="006114D6">
        <w:rPr>
          <w:rFonts w:ascii="Angsana New" w:eastAsia="Times New Roman" w:hAnsi="Angsana New"/>
          <w:color w:val="000000"/>
          <w:sz w:val="32"/>
        </w:rPr>
        <w:t xml:space="preserve"> </w:t>
      </w:r>
      <w:proofErr w:type="spellStart"/>
      <w:r w:rsidRPr="006114D6">
        <w:rPr>
          <w:rFonts w:ascii="Angsana New" w:eastAsia="Times New Roman" w:hAnsi="Angsana New"/>
          <w:color w:val="000000"/>
          <w:sz w:val="32"/>
        </w:rPr>
        <w:t>pipines</w:t>
      </w:r>
      <w:proofErr w:type="spellEnd"/>
      <w:r w:rsidRPr="006114D6">
        <w:rPr>
          <w:rFonts w:ascii="Angsana New" w:eastAsia="Times New Roman" w:hAnsi="Angsana New"/>
          <w:color w:val="000000"/>
          <w:sz w:val="32"/>
        </w:rPr>
        <w:t xml:space="preserve"> </w:t>
      </w:r>
      <w:r w:rsidRPr="006114D6">
        <w:rPr>
          <w:rFonts w:ascii="Angsana New" w:eastAsia="Times New Roman" w:hAnsi="Angsana New"/>
          <w:color w:val="000000"/>
          <w:sz w:val="32"/>
          <w:cs/>
        </w:rPr>
        <w:t>จะสามารถสืบพันธุ์ได้น้ำเสีย โดยเชื้อจะติดไปกับตัวแมลง เมื่อสัมผัสอาหารเชื้อก็จะปนเปื้อนกับอาหาร ดังนั้นการจัดระบบสุขาภิบาลที่ดี จึงเป็นการป้องกันพาหนะเหล่านี้</w:t>
      </w:r>
    </w:p>
    <w:p w:rsidR="006114D6" w:rsidRPr="006114D6" w:rsidRDefault="006114D6" w:rsidP="006114D6">
      <w:pPr>
        <w:shd w:val="clear" w:color="auto" w:fill="F1F4F8"/>
        <w:spacing w:after="0" w:line="240" w:lineRule="auto"/>
        <w:ind w:firstLine="720"/>
        <w:rPr>
          <w:rFonts w:ascii="Angsana New" w:eastAsia="Times New Roman" w:hAnsi="Angsana New"/>
          <w:color w:val="000000"/>
          <w:sz w:val="32"/>
        </w:rPr>
      </w:pPr>
      <w:r w:rsidRPr="006114D6">
        <w:rPr>
          <w:rFonts w:ascii="Angsana New" w:eastAsia="Times New Roman" w:hAnsi="Angsana New"/>
          <w:color w:val="000000"/>
          <w:sz w:val="32"/>
          <w:cs/>
        </w:rPr>
        <w:t>ดังนั้น แนวทางหนึ่งในการควบคุมการแพร่กระจายของเชื้อโรค คือ จะต้องจัดระบบสุขาภิบาลตั้งแต่ระดับครัวเรือนไปจนถึงระดับชุมชนให้ถูกต้องเหมาะและควรมีระบบการจัดการและบำบัดน้ำเสียรวมของชุมชนที่สามารถกำจัดเชื้อโรคในน้ำทิ้งได้ก่อนที่จะระบายลงสู่แหล่งน้ำสาธารณะหรือออกสู่สิ่งแวดล้อม</w:t>
      </w:r>
    </w:p>
    <w:p w:rsidR="006114D6" w:rsidRDefault="006114D6">
      <w:pPr>
        <w:rPr>
          <w:rFonts w:ascii="Angsana New" w:hAnsi="Angsana New" w:hint="cs"/>
          <w:sz w:val="32"/>
        </w:rPr>
      </w:pPr>
      <w:r>
        <w:rPr>
          <w:rFonts w:ascii="Angsana New" w:hAnsi="Angsana New" w:hint="cs"/>
          <w:sz w:val="32"/>
          <w:cs/>
        </w:rPr>
        <w:t xml:space="preserve"> </w:t>
      </w:r>
    </w:p>
    <w:p w:rsidR="006114D6" w:rsidRPr="006114D6" w:rsidRDefault="006114D6">
      <w:pPr>
        <w:rPr>
          <w:rFonts w:ascii="Angsana New" w:hAnsi="Angsana New" w:hint="cs"/>
          <w:sz w:val="32"/>
          <w:cs/>
        </w:rPr>
      </w:pPr>
      <w:r>
        <w:rPr>
          <w:rFonts w:ascii="Angsana New" w:hAnsi="Angsana New" w:hint="cs"/>
          <w:sz w:val="32"/>
          <w:cs/>
        </w:rPr>
        <w:t xml:space="preserve">ที่มา </w:t>
      </w:r>
      <w:r>
        <w:rPr>
          <w:rFonts w:ascii="Angsana New" w:hAnsi="Angsana New"/>
          <w:sz w:val="32"/>
        </w:rPr>
        <w:t xml:space="preserve">: </w:t>
      </w:r>
      <w:r>
        <w:rPr>
          <w:rFonts w:ascii="Angsana New" w:hAnsi="Angsana New" w:hint="cs"/>
          <w:sz w:val="32"/>
          <w:cs/>
        </w:rPr>
        <w:t>กรมควบคุมมลพิษ</w:t>
      </w:r>
    </w:p>
    <w:sectPr w:rsidR="006114D6" w:rsidRPr="006114D6" w:rsidSect="00A6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114D6"/>
    <w:rsid w:val="006114D6"/>
    <w:rsid w:val="00A6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Angsana New"/>
        <w:sz w:val="2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4D6"/>
  </w:style>
  <w:style w:type="paragraph" w:styleId="a3">
    <w:name w:val="Normal (Web)"/>
    <w:basedOn w:val="a"/>
    <w:uiPriority w:val="99"/>
    <w:semiHidden/>
    <w:unhideWhenUsed/>
    <w:rsid w:val="006114D6"/>
    <w:pPr>
      <w:spacing w:before="100" w:beforeAutospacing="1" w:after="100" w:afterAutospacing="1" w:line="240" w:lineRule="auto"/>
    </w:pPr>
    <w:rPr>
      <w:rFonts w:ascii="Angsana New" w:eastAsia="Times New Roman" w:hAnsi="Angsana New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14D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14D6"/>
    <w:rPr>
      <w:rFonts w:ascii="Tahoma" w:hAnsi="Tahoma"/>
      <w:sz w:val="16"/>
      <w:szCs w:val="20"/>
    </w:rPr>
  </w:style>
  <w:style w:type="paragraph" w:customStyle="1" w:styleId="emblue">
    <w:name w:val="emblue"/>
    <w:basedOn w:val="a"/>
    <w:rsid w:val="006114D6"/>
    <w:pPr>
      <w:spacing w:before="100" w:beforeAutospacing="1" w:after="100" w:afterAutospacing="1" w:line="240" w:lineRule="auto"/>
    </w:pPr>
    <w:rPr>
      <w:rFonts w:ascii="Angsana New" w:eastAsia="Times New Roman" w:hAnsi="Angsana New"/>
      <w:szCs w:val="28"/>
    </w:rPr>
  </w:style>
  <w:style w:type="character" w:styleId="a6">
    <w:name w:val="Strong"/>
    <w:basedOn w:val="a0"/>
    <w:uiPriority w:val="22"/>
    <w:qFormat/>
    <w:rsid w:val="0061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mix</cp:lastModifiedBy>
  <cp:revision>1</cp:revision>
  <dcterms:created xsi:type="dcterms:W3CDTF">2015-04-28T06:57:00Z</dcterms:created>
  <dcterms:modified xsi:type="dcterms:W3CDTF">2015-04-28T07:03:00Z</dcterms:modified>
</cp:coreProperties>
</file>